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D" w:rsidRDefault="00AC014D" w:rsidP="00AC014D">
      <w:pPr>
        <w:rPr>
          <w:bCs/>
        </w:rPr>
      </w:pPr>
      <w:r>
        <w:rPr>
          <w:bCs/>
        </w:rPr>
        <w:t>This policy concerns admission to and participation in the school, relating to the exclusion and suspension of students and admission to and participation by students with disabilities or who have other educational needs.</w:t>
      </w:r>
    </w:p>
    <w:p w:rsidR="00AC014D" w:rsidRDefault="00AC014D" w:rsidP="00AC014D">
      <w:r>
        <w:t>Enrolment is limited by school capacity and by the requirements of the school curriculum.</w:t>
      </w:r>
    </w:p>
    <w:p w:rsidR="00AC014D" w:rsidRPr="003709F7" w:rsidRDefault="00AC014D" w:rsidP="00AC014D">
      <w:pPr>
        <w:rPr>
          <w:b/>
        </w:rPr>
      </w:pPr>
      <w:r w:rsidRPr="003709F7">
        <w:rPr>
          <w:b/>
        </w:rPr>
        <w:t>In assessing applications for admission the school will take into account:</w:t>
      </w:r>
    </w:p>
    <w:p w:rsidR="00AC014D" w:rsidRDefault="00AC014D" w:rsidP="00AC014D">
      <w:pPr>
        <w:numPr>
          <w:ilvl w:val="0"/>
          <w:numId w:val="1"/>
        </w:numPr>
        <w:spacing w:after="0" w:line="240" w:lineRule="auto"/>
      </w:pPr>
      <w:r>
        <w:t>The rights of children living within the local community</w:t>
      </w:r>
    </w:p>
    <w:p w:rsidR="00AC014D" w:rsidRDefault="00AC014D" w:rsidP="00AC014D">
      <w:pPr>
        <w:numPr>
          <w:ilvl w:val="0"/>
          <w:numId w:val="1"/>
        </w:numPr>
        <w:spacing w:after="0" w:line="240" w:lineRule="auto"/>
      </w:pPr>
      <w:r>
        <w:t>The rights of parents to enrol their children in the school of their choice</w:t>
      </w:r>
    </w:p>
    <w:p w:rsidR="00AC014D" w:rsidRDefault="00AC014D" w:rsidP="00AC014D">
      <w:pPr>
        <w:numPr>
          <w:ilvl w:val="0"/>
          <w:numId w:val="1"/>
        </w:numPr>
        <w:spacing w:after="0" w:line="240" w:lineRule="auto"/>
      </w:pPr>
      <w:r>
        <w:t xml:space="preserve">The capacity of the school to provide adequately for the education of all of its pupils </w:t>
      </w:r>
    </w:p>
    <w:p w:rsidR="003709F7" w:rsidRDefault="003709F7" w:rsidP="003709F7">
      <w:pPr>
        <w:spacing w:after="0" w:line="240" w:lineRule="auto"/>
        <w:ind w:left="720"/>
      </w:pPr>
    </w:p>
    <w:p w:rsidR="00AC014D" w:rsidRPr="003709F7" w:rsidRDefault="00AC014D" w:rsidP="00AC014D">
      <w:pPr>
        <w:rPr>
          <w:b/>
        </w:rPr>
      </w:pPr>
      <w:r w:rsidRPr="003709F7">
        <w:rPr>
          <w:b/>
        </w:rPr>
        <w:t>The objectives of this policy statement are:</w:t>
      </w:r>
    </w:p>
    <w:p w:rsidR="00AC014D" w:rsidRDefault="005C34FD" w:rsidP="00AC014D">
      <w:pPr>
        <w:numPr>
          <w:ilvl w:val="0"/>
          <w:numId w:val="2"/>
        </w:numPr>
        <w:spacing w:after="0" w:line="240" w:lineRule="auto"/>
      </w:pPr>
      <w:r>
        <w:t>To define the</w:t>
      </w:r>
      <w:r w:rsidR="00AC014D">
        <w:t xml:space="preserve"> procedures to be followed by parents/guardians </w:t>
      </w:r>
      <w:r>
        <w:t>when applying for their child to go to school</w:t>
      </w:r>
    </w:p>
    <w:p w:rsidR="00AC014D" w:rsidRDefault="00AC014D" w:rsidP="00AC014D">
      <w:pPr>
        <w:numPr>
          <w:ilvl w:val="0"/>
          <w:numId w:val="2"/>
        </w:numPr>
        <w:spacing w:after="0" w:line="240" w:lineRule="auto"/>
      </w:pPr>
      <w:r>
        <w:t xml:space="preserve">To define </w:t>
      </w:r>
      <w:r w:rsidR="005C34FD">
        <w:t>what happens when</w:t>
      </w:r>
      <w:r>
        <w:t xml:space="preserve"> the number of applications exceeds the number of available places.</w:t>
      </w:r>
    </w:p>
    <w:p w:rsidR="005C34FD" w:rsidRDefault="00AC014D" w:rsidP="005C34FD">
      <w:pPr>
        <w:numPr>
          <w:ilvl w:val="0"/>
          <w:numId w:val="2"/>
        </w:numPr>
        <w:spacing w:after="0" w:line="240" w:lineRule="auto"/>
      </w:pPr>
      <w:r>
        <w:t>To define</w:t>
      </w:r>
      <w:r w:rsidR="005C34FD">
        <w:t xml:space="preserve"> appealing to the local school management and/or to the Department of Education and Science regarding the refusal of admission.</w:t>
      </w:r>
    </w:p>
    <w:p w:rsidR="00AC014D" w:rsidRDefault="005C34FD" w:rsidP="00AC014D">
      <w:pPr>
        <w:numPr>
          <w:ilvl w:val="0"/>
          <w:numId w:val="2"/>
        </w:numPr>
        <w:spacing w:after="0" w:line="240" w:lineRule="auto"/>
      </w:pPr>
      <w:r>
        <w:t xml:space="preserve">This policy statement </w:t>
      </w:r>
      <w:r w:rsidR="00AC014D">
        <w:t>provides for the admission of all</w:t>
      </w:r>
      <w:r w:rsidR="008D6563">
        <w:t xml:space="preserve"> eligible</w:t>
      </w:r>
      <w:r w:rsidR="00AC014D">
        <w:t xml:space="preserve"> </w:t>
      </w:r>
      <w:r w:rsidR="008D6563">
        <w:t>persons</w:t>
      </w:r>
      <w:r w:rsidR="00AC014D">
        <w:t xml:space="preserve"> in the community regardless of religion, social class or educational need within the limits of available accommodation and facilities provided</w:t>
      </w:r>
      <w:r>
        <w:t>.</w:t>
      </w:r>
    </w:p>
    <w:p w:rsidR="005C34FD" w:rsidRDefault="005C34FD" w:rsidP="00AC014D">
      <w:pPr>
        <w:spacing w:after="0"/>
      </w:pPr>
    </w:p>
    <w:p w:rsidR="00AC014D" w:rsidRPr="003709F7" w:rsidRDefault="00AC014D" w:rsidP="00AC014D">
      <w:pPr>
        <w:spacing w:after="0"/>
        <w:rPr>
          <w:b/>
        </w:rPr>
      </w:pPr>
      <w:r w:rsidRPr="003709F7">
        <w:rPr>
          <w:b/>
        </w:rPr>
        <w:t xml:space="preserve">The school provides; </w:t>
      </w:r>
    </w:p>
    <w:p w:rsidR="00AC014D" w:rsidRDefault="00AC014D" w:rsidP="00AC014D">
      <w:pPr>
        <w:pStyle w:val="ListParagraph"/>
        <w:numPr>
          <w:ilvl w:val="0"/>
          <w:numId w:val="6"/>
        </w:numPr>
        <w:spacing w:after="0"/>
      </w:pPr>
      <w:proofErr w:type="gramStart"/>
      <w:r>
        <w:t>A system of post-primary education open</w:t>
      </w:r>
      <w:proofErr w:type="gramEnd"/>
      <w:r>
        <w:t xml:space="preserve"> to all children of the community.</w:t>
      </w:r>
    </w:p>
    <w:p w:rsidR="00AC014D" w:rsidRDefault="00AC014D" w:rsidP="00AC014D">
      <w:pPr>
        <w:pStyle w:val="ListParagraph"/>
        <w:numPr>
          <w:ilvl w:val="0"/>
          <w:numId w:val="6"/>
        </w:numPr>
        <w:spacing w:after="0" w:line="240" w:lineRule="auto"/>
      </w:pPr>
      <w:r>
        <w:t>Induction for incoming First Years.</w:t>
      </w:r>
    </w:p>
    <w:p w:rsidR="00AC014D" w:rsidRDefault="00AC014D" w:rsidP="00AC014D">
      <w:pPr>
        <w:pStyle w:val="ListParagraph"/>
        <w:numPr>
          <w:ilvl w:val="0"/>
          <w:numId w:val="6"/>
        </w:numPr>
        <w:spacing w:after="0" w:line="240" w:lineRule="auto"/>
      </w:pPr>
      <w:r>
        <w:t>A wide range of extra-curricular activities.</w:t>
      </w:r>
    </w:p>
    <w:p w:rsidR="00AC014D" w:rsidRDefault="00AC014D" w:rsidP="003709F7">
      <w:pPr>
        <w:spacing w:after="0" w:line="240" w:lineRule="auto"/>
      </w:pPr>
    </w:p>
    <w:p w:rsidR="003709F7" w:rsidRPr="003709F7" w:rsidRDefault="00AC014D" w:rsidP="00AC014D">
      <w:pPr>
        <w:rPr>
          <w:b/>
        </w:rPr>
      </w:pPr>
      <w:r w:rsidRPr="003709F7">
        <w:rPr>
          <w:b/>
        </w:rPr>
        <w:t xml:space="preserve">The school provides the curricular </w:t>
      </w:r>
      <w:proofErr w:type="gramStart"/>
      <w:r w:rsidRPr="003709F7">
        <w:rPr>
          <w:b/>
        </w:rPr>
        <w:t>programmes</w:t>
      </w:r>
      <w:r w:rsidR="003709F7">
        <w:rPr>
          <w:b/>
        </w:rPr>
        <w:t xml:space="preserve"> </w:t>
      </w:r>
      <w:r w:rsidR="003709F7" w:rsidRPr="003709F7">
        <w:rPr>
          <w:b/>
        </w:rPr>
        <w:t>:</w:t>
      </w:r>
      <w:proofErr w:type="gramEnd"/>
    </w:p>
    <w:p w:rsidR="003709F7" w:rsidRDefault="003709F7" w:rsidP="003709F7">
      <w:pPr>
        <w:spacing w:line="240" w:lineRule="auto"/>
      </w:pPr>
      <w:r>
        <w:t xml:space="preserve">Junior Cycle, Junior </w:t>
      </w:r>
      <w:proofErr w:type="spellStart"/>
      <w:r>
        <w:t>Cerfticate</w:t>
      </w:r>
      <w:proofErr w:type="spellEnd"/>
      <w:r w:rsidR="00AC014D">
        <w:t xml:space="preserve">, </w:t>
      </w:r>
      <w:r>
        <w:t xml:space="preserve">                                                                                                                   </w:t>
      </w:r>
    </w:p>
    <w:p w:rsidR="003709F7" w:rsidRDefault="00AC014D" w:rsidP="003709F7">
      <w:pPr>
        <w:spacing w:line="240" w:lineRule="auto"/>
      </w:pPr>
      <w:r>
        <w:t>Leaving Certificate, Leaving Certificate Vocational Programme, Leaving Certificate Applied,</w:t>
      </w:r>
      <w:r w:rsidR="003709F7">
        <w:t xml:space="preserve">                  </w:t>
      </w:r>
    </w:p>
    <w:p w:rsidR="00AC014D" w:rsidRDefault="003709F7" w:rsidP="003709F7">
      <w:pPr>
        <w:spacing w:line="240" w:lineRule="auto"/>
      </w:pPr>
      <w:r>
        <w:t xml:space="preserve"> </w:t>
      </w:r>
      <w:proofErr w:type="gramStart"/>
      <w:r>
        <w:t>optional</w:t>
      </w:r>
      <w:proofErr w:type="gramEnd"/>
      <w:r>
        <w:t xml:space="preserve"> Transition Year - </w:t>
      </w:r>
      <w:r w:rsidR="00AC014D">
        <w:t>The Board of Management has the right to refuse entry to Transition Year.</w:t>
      </w:r>
    </w:p>
    <w:p w:rsidR="008D6563" w:rsidRPr="003709F7" w:rsidRDefault="008D6563" w:rsidP="00AC014D">
      <w:pPr>
        <w:rPr>
          <w:sz w:val="2"/>
        </w:rPr>
      </w:pPr>
    </w:p>
    <w:p w:rsidR="00AC014D" w:rsidRDefault="00AC014D" w:rsidP="00AC014D">
      <w:r>
        <w:t>All children above the minimum age are welcome to enrol in the School provided that there is available space, the maxi</w:t>
      </w:r>
      <w:r w:rsidR="008D6563">
        <w:t xml:space="preserve">mum class size is not breached </w:t>
      </w:r>
      <w:r>
        <w:t>and the school has the resources to provide an appropriate education to every child in the school.</w:t>
      </w:r>
    </w:p>
    <w:p w:rsidR="008D6563" w:rsidRPr="003709F7" w:rsidRDefault="008D6563" w:rsidP="00AC014D">
      <w:pPr>
        <w:rPr>
          <w:sz w:val="2"/>
        </w:rPr>
      </w:pPr>
    </w:p>
    <w:p w:rsidR="008D6563" w:rsidRDefault="00AC014D" w:rsidP="005C34FD">
      <w:r w:rsidRPr="008D6563">
        <w:t>Secondary school students must be aged 12 on 1st January in the Calendar year following the applicant’s entry into 1st year.</w:t>
      </w:r>
    </w:p>
    <w:p w:rsidR="005C34FD" w:rsidRDefault="005C34FD" w:rsidP="005C34FD">
      <w:r>
        <w:t>Where the number of applications exceeds the number of places</w:t>
      </w:r>
      <w:r w:rsidR="008D6563">
        <w:t>, the following will be applied</w:t>
      </w:r>
    </w:p>
    <w:p w:rsidR="005C34FD" w:rsidRDefault="005C34FD" w:rsidP="008D6563">
      <w:pPr>
        <w:pStyle w:val="ListParagraph"/>
        <w:numPr>
          <w:ilvl w:val="0"/>
          <w:numId w:val="11"/>
        </w:numPr>
        <w:spacing w:after="0" w:line="240" w:lineRule="auto"/>
      </w:pPr>
      <w:r w:rsidRPr="008D6563">
        <w:rPr>
          <w:bCs/>
        </w:rPr>
        <w:t>Brothers and sisters of pupils in the school,</w:t>
      </w:r>
      <w:r w:rsidRPr="008D6563">
        <w:rPr>
          <w:b/>
          <w:bCs/>
        </w:rPr>
        <w:t xml:space="preserve"> </w:t>
      </w:r>
      <w:r>
        <w:t xml:space="preserve">brothers and sisters of past </w:t>
      </w:r>
    </w:p>
    <w:p w:rsidR="005C34FD" w:rsidRDefault="008D6563" w:rsidP="008D6563">
      <w:pPr>
        <w:spacing w:after="0" w:line="240" w:lineRule="auto"/>
        <w:ind w:firstLine="720"/>
      </w:pPr>
      <w:proofErr w:type="gramStart"/>
      <w:r>
        <w:t>pupils</w:t>
      </w:r>
      <w:proofErr w:type="gramEnd"/>
      <w:r>
        <w:t xml:space="preserve"> </w:t>
      </w:r>
      <w:r w:rsidR="005C34FD">
        <w:t xml:space="preserve">and children of members of staff. </w:t>
      </w:r>
    </w:p>
    <w:p w:rsidR="005C34FD" w:rsidRDefault="005C34FD" w:rsidP="005C34FD">
      <w:pPr>
        <w:numPr>
          <w:ilvl w:val="0"/>
          <w:numId w:val="7"/>
        </w:numPr>
        <w:spacing w:after="0" w:line="240" w:lineRule="auto"/>
      </w:pPr>
      <w:r>
        <w:t>Applicants who live</w:t>
      </w:r>
      <w:r>
        <w:rPr>
          <w:b/>
          <w:bCs/>
        </w:rPr>
        <w:t xml:space="preserve"> </w:t>
      </w:r>
      <w:r>
        <w:t>in the catchment area and who are “first in the family”</w:t>
      </w:r>
    </w:p>
    <w:p w:rsidR="005C34FD" w:rsidRDefault="005C34FD" w:rsidP="005C34FD">
      <w:pPr>
        <w:numPr>
          <w:ilvl w:val="0"/>
          <w:numId w:val="7"/>
        </w:numPr>
        <w:spacing w:after="0" w:line="240" w:lineRule="auto"/>
      </w:pPr>
      <w:r>
        <w:t>All other applicants who live in the catchment area</w:t>
      </w:r>
    </w:p>
    <w:p w:rsidR="005C34FD" w:rsidRDefault="005C34FD" w:rsidP="005C34FD">
      <w:pPr>
        <w:numPr>
          <w:ilvl w:val="0"/>
          <w:numId w:val="7"/>
        </w:numPr>
        <w:spacing w:after="0" w:line="240" w:lineRule="auto"/>
      </w:pPr>
      <w:r>
        <w:t xml:space="preserve">Applicants who attend a primary school in the catchment, but do not live there. </w:t>
      </w:r>
    </w:p>
    <w:p w:rsidR="005C34FD" w:rsidRDefault="005C34FD" w:rsidP="005C34FD"/>
    <w:p w:rsidR="005C34FD" w:rsidRDefault="005C34FD" w:rsidP="003709F7">
      <w:pPr>
        <w:pStyle w:val="ListParagraph"/>
        <w:numPr>
          <w:ilvl w:val="0"/>
          <w:numId w:val="13"/>
        </w:numPr>
        <w:spacing w:after="0"/>
      </w:pPr>
      <w:r>
        <w:t xml:space="preserve">Application forms will be handed out to pupils in the primary schools.               </w:t>
      </w:r>
    </w:p>
    <w:p w:rsidR="005C34FD" w:rsidRDefault="005C34FD" w:rsidP="003709F7">
      <w:pPr>
        <w:pStyle w:val="ListParagraph"/>
        <w:numPr>
          <w:ilvl w:val="0"/>
          <w:numId w:val="13"/>
        </w:numPr>
        <w:spacing w:after="0"/>
      </w:pPr>
      <w:r>
        <w:t xml:space="preserve">Application forms also available at the Open Night                               </w:t>
      </w:r>
    </w:p>
    <w:p w:rsidR="005C34FD" w:rsidRDefault="005C34FD" w:rsidP="003709F7">
      <w:pPr>
        <w:pStyle w:val="ListParagraph"/>
        <w:numPr>
          <w:ilvl w:val="0"/>
          <w:numId w:val="13"/>
        </w:numPr>
        <w:spacing w:after="0"/>
      </w:pPr>
      <w:r>
        <w:t>At the Open Night uniform, health and school regulation forms will be available for parents.</w:t>
      </w:r>
    </w:p>
    <w:p w:rsidR="00AC014D" w:rsidRDefault="00AC014D" w:rsidP="00AC014D">
      <w:pPr>
        <w:spacing w:after="0" w:line="240" w:lineRule="auto"/>
      </w:pPr>
    </w:p>
    <w:p w:rsidR="005C34FD" w:rsidRPr="003709F7" w:rsidRDefault="005C34FD" w:rsidP="005C34FD">
      <w:pPr>
        <w:pStyle w:val="ListParagraph"/>
        <w:ind w:left="1440"/>
        <w:rPr>
          <w:sz w:val="4"/>
        </w:rPr>
      </w:pPr>
    </w:p>
    <w:p w:rsidR="005C34FD" w:rsidRDefault="005C34FD" w:rsidP="005C34FD">
      <w:pPr>
        <w:spacing w:after="0"/>
      </w:pPr>
      <w:r>
        <w:lastRenderedPageBreak/>
        <w:t>An applicant who is refused enrolment has a right to app</w:t>
      </w:r>
      <w:r w:rsidR="008D6563">
        <w:t>eal against the decision of the</w:t>
      </w:r>
      <w:r>
        <w:rPr>
          <w:color w:val="000000"/>
        </w:rPr>
        <w:t xml:space="preserve"> John the Baptist Community School to the </w:t>
      </w:r>
      <w:r>
        <w:t>Board of Management</w:t>
      </w:r>
      <w:r>
        <w:rPr>
          <w:color w:val="000000"/>
        </w:rPr>
        <w:t xml:space="preserve"> in the first instance. Such an appeal should be made within 14 days of the written notification of the refusal.</w:t>
      </w:r>
    </w:p>
    <w:p w:rsidR="005C34FD" w:rsidRPr="00AC014D" w:rsidRDefault="005C34FD" w:rsidP="005C34FD">
      <w:pPr>
        <w:spacing w:after="0" w:line="240" w:lineRule="auto"/>
      </w:pPr>
    </w:p>
    <w:sectPr w:rsidR="005C34FD" w:rsidRPr="00AC014D" w:rsidSect="003709F7">
      <w:headerReference w:type="default" r:id="rId7"/>
      <w:pgSz w:w="11906" w:h="16838"/>
      <w:pgMar w:top="1440" w:right="566"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F7" w:rsidRDefault="003709F7" w:rsidP="003709F7">
      <w:pPr>
        <w:spacing w:after="0" w:line="240" w:lineRule="auto"/>
      </w:pPr>
      <w:r>
        <w:separator/>
      </w:r>
    </w:p>
  </w:endnote>
  <w:endnote w:type="continuationSeparator" w:id="0">
    <w:p w:rsidR="003709F7" w:rsidRDefault="003709F7" w:rsidP="0037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F7" w:rsidRDefault="003709F7" w:rsidP="003709F7">
      <w:pPr>
        <w:spacing w:after="0" w:line="240" w:lineRule="auto"/>
      </w:pPr>
      <w:r>
        <w:separator/>
      </w:r>
    </w:p>
  </w:footnote>
  <w:footnote w:type="continuationSeparator" w:id="0">
    <w:p w:rsidR="003709F7" w:rsidRDefault="003709F7" w:rsidP="0037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7" w:rsidRDefault="003709F7" w:rsidP="003709F7">
    <w:pPr>
      <w:jc w:val="center"/>
      <w:rPr>
        <w:u w:val="single"/>
      </w:rPr>
    </w:pPr>
    <w:bookmarkStart w:id="0" w:name="_GoBack"/>
    <w:bookmarkEnd w:id="0"/>
    <w:r w:rsidRPr="00AC014D">
      <w:rPr>
        <w:u w:val="single"/>
      </w:rPr>
      <w:t>Enrolment Policy</w:t>
    </w:r>
  </w:p>
  <w:p w:rsidR="003709F7" w:rsidRDefault="00370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20A"/>
    <w:multiLevelType w:val="hybridMultilevel"/>
    <w:tmpl w:val="20E8B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284798"/>
    <w:multiLevelType w:val="hybridMultilevel"/>
    <w:tmpl w:val="D010AF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nsid w:val="1CD54E32"/>
    <w:multiLevelType w:val="hybridMultilevel"/>
    <w:tmpl w:val="266EB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1F27FF"/>
    <w:multiLevelType w:val="hybridMultilevel"/>
    <w:tmpl w:val="5AB695DE"/>
    <w:lvl w:ilvl="0" w:tplc="1809000B">
      <w:start w:val="1"/>
      <w:numFmt w:val="bullet"/>
      <w:lvlText w:val=""/>
      <w:lvlJc w:val="left"/>
      <w:pPr>
        <w:tabs>
          <w:tab w:val="num" w:pos="1080"/>
        </w:tabs>
        <w:ind w:left="1080" w:hanging="360"/>
      </w:pPr>
      <w:rPr>
        <w:rFonts w:ascii="Wingdings" w:hAnsi="Wingdings"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4">
    <w:nsid w:val="23D67097"/>
    <w:multiLevelType w:val="hybridMultilevel"/>
    <w:tmpl w:val="64B29A32"/>
    <w:lvl w:ilvl="0" w:tplc="6C50AE2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615D87"/>
    <w:multiLevelType w:val="hybridMultilevel"/>
    <w:tmpl w:val="AB0C6A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58A9119C"/>
    <w:multiLevelType w:val="hybridMultilevel"/>
    <w:tmpl w:val="D8BC3E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5BAD35EE"/>
    <w:multiLevelType w:val="hybridMultilevel"/>
    <w:tmpl w:val="6486C2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BE80D7C"/>
    <w:multiLevelType w:val="hybridMultilevel"/>
    <w:tmpl w:val="FB801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F020B2"/>
    <w:multiLevelType w:val="hybridMultilevel"/>
    <w:tmpl w:val="FB4638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6C3455FD"/>
    <w:multiLevelType w:val="hybridMultilevel"/>
    <w:tmpl w:val="501A454C"/>
    <w:lvl w:ilvl="0" w:tplc="96E2CC7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3"/>
  </w:num>
  <w:num w:numId="6">
    <w:abstractNumId w:val="8"/>
  </w:num>
  <w:num w:numId="7">
    <w:abstractNumId w:val="6"/>
  </w:num>
  <w:num w:numId="8">
    <w:abstractNumId w:val="1"/>
  </w:num>
  <w:num w:numId="9">
    <w:abstractNumId w:val="1"/>
  </w:num>
  <w:num w:numId="10">
    <w:abstractNumId w:val="5"/>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AC014D"/>
    <w:rsid w:val="00264A90"/>
    <w:rsid w:val="003709F7"/>
    <w:rsid w:val="00401B6A"/>
    <w:rsid w:val="005C34FD"/>
    <w:rsid w:val="005D526D"/>
    <w:rsid w:val="008D6563"/>
    <w:rsid w:val="00AC01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4D"/>
    <w:pPr>
      <w:ind w:left="720"/>
      <w:contextualSpacing/>
    </w:pPr>
  </w:style>
  <w:style w:type="paragraph" w:styleId="Header">
    <w:name w:val="header"/>
    <w:basedOn w:val="Normal"/>
    <w:link w:val="HeaderChar"/>
    <w:uiPriority w:val="99"/>
    <w:semiHidden/>
    <w:unhideWhenUsed/>
    <w:rsid w:val="00370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09F7"/>
  </w:style>
  <w:style w:type="paragraph" w:styleId="Footer">
    <w:name w:val="footer"/>
    <w:basedOn w:val="Normal"/>
    <w:link w:val="FooterChar"/>
    <w:uiPriority w:val="99"/>
    <w:semiHidden/>
    <w:unhideWhenUsed/>
    <w:rsid w:val="003709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0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4D"/>
    <w:pPr>
      <w:ind w:left="720"/>
      <w:contextualSpacing/>
    </w:pPr>
  </w:style>
</w:styles>
</file>

<file path=word/webSettings.xml><?xml version="1.0" encoding="utf-8"?>
<w:webSettings xmlns:r="http://schemas.openxmlformats.org/officeDocument/2006/relationships" xmlns:w="http://schemas.openxmlformats.org/wordprocessingml/2006/main">
  <w:divs>
    <w:div w:id="18355556">
      <w:bodyDiv w:val="1"/>
      <w:marLeft w:val="0"/>
      <w:marRight w:val="0"/>
      <w:marTop w:val="0"/>
      <w:marBottom w:val="0"/>
      <w:divBdr>
        <w:top w:val="none" w:sz="0" w:space="0" w:color="auto"/>
        <w:left w:val="none" w:sz="0" w:space="0" w:color="auto"/>
        <w:bottom w:val="none" w:sz="0" w:space="0" w:color="auto"/>
        <w:right w:val="none" w:sz="0" w:space="0" w:color="auto"/>
      </w:divBdr>
    </w:div>
    <w:div w:id="195585976">
      <w:bodyDiv w:val="1"/>
      <w:marLeft w:val="0"/>
      <w:marRight w:val="0"/>
      <w:marTop w:val="0"/>
      <w:marBottom w:val="0"/>
      <w:divBdr>
        <w:top w:val="none" w:sz="0" w:space="0" w:color="auto"/>
        <w:left w:val="none" w:sz="0" w:space="0" w:color="auto"/>
        <w:bottom w:val="none" w:sz="0" w:space="0" w:color="auto"/>
        <w:right w:val="none" w:sz="0" w:space="0" w:color="auto"/>
      </w:divBdr>
    </w:div>
    <w:div w:id="252013457">
      <w:bodyDiv w:val="1"/>
      <w:marLeft w:val="0"/>
      <w:marRight w:val="0"/>
      <w:marTop w:val="0"/>
      <w:marBottom w:val="0"/>
      <w:divBdr>
        <w:top w:val="none" w:sz="0" w:space="0" w:color="auto"/>
        <w:left w:val="none" w:sz="0" w:space="0" w:color="auto"/>
        <w:bottom w:val="none" w:sz="0" w:space="0" w:color="auto"/>
        <w:right w:val="none" w:sz="0" w:space="0" w:color="auto"/>
      </w:divBdr>
    </w:div>
    <w:div w:id="265502371">
      <w:bodyDiv w:val="1"/>
      <w:marLeft w:val="0"/>
      <w:marRight w:val="0"/>
      <w:marTop w:val="0"/>
      <w:marBottom w:val="0"/>
      <w:divBdr>
        <w:top w:val="none" w:sz="0" w:space="0" w:color="auto"/>
        <w:left w:val="none" w:sz="0" w:space="0" w:color="auto"/>
        <w:bottom w:val="none" w:sz="0" w:space="0" w:color="auto"/>
        <w:right w:val="none" w:sz="0" w:space="0" w:color="auto"/>
      </w:divBdr>
    </w:div>
    <w:div w:id="280188129">
      <w:bodyDiv w:val="1"/>
      <w:marLeft w:val="0"/>
      <w:marRight w:val="0"/>
      <w:marTop w:val="0"/>
      <w:marBottom w:val="0"/>
      <w:divBdr>
        <w:top w:val="none" w:sz="0" w:space="0" w:color="auto"/>
        <w:left w:val="none" w:sz="0" w:space="0" w:color="auto"/>
        <w:bottom w:val="none" w:sz="0" w:space="0" w:color="auto"/>
        <w:right w:val="none" w:sz="0" w:space="0" w:color="auto"/>
      </w:divBdr>
    </w:div>
    <w:div w:id="285356129">
      <w:bodyDiv w:val="1"/>
      <w:marLeft w:val="0"/>
      <w:marRight w:val="0"/>
      <w:marTop w:val="0"/>
      <w:marBottom w:val="0"/>
      <w:divBdr>
        <w:top w:val="none" w:sz="0" w:space="0" w:color="auto"/>
        <w:left w:val="none" w:sz="0" w:space="0" w:color="auto"/>
        <w:bottom w:val="none" w:sz="0" w:space="0" w:color="auto"/>
        <w:right w:val="none" w:sz="0" w:space="0" w:color="auto"/>
      </w:divBdr>
    </w:div>
    <w:div w:id="807935485">
      <w:bodyDiv w:val="1"/>
      <w:marLeft w:val="0"/>
      <w:marRight w:val="0"/>
      <w:marTop w:val="0"/>
      <w:marBottom w:val="0"/>
      <w:divBdr>
        <w:top w:val="none" w:sz="0" w:space="0" w:color="auto"/>
        <w:left w:val="none" w:sz="0" w:space="0" w:color="auto"/>
        <w:bottom w:val="none" w:sz="0" w:space="0" w:color="auto"/>
        <w:right w:val="none" w:sz="0" w:space="0" w:color="auto"/>
      </w:divBdr>
    </w:div>
    <w:div w:id="1226795323">
      <w:bodyDiv w:val="1"/>
      <w:marLeft w:val="0"/>
      <w:marRight w:val="0"/>
      <w:marTop w:val="0"/>
      <w:marBottom w:val="0"/>
      <w:divBdr>
        <w:top w:val="none" w:sz="0" w:space="0" w:color="auto"/>
        <w:left w:val="none" w:sz="0" w:space="0" w:color="auto"/>
        <w:bottom w:val="none" w:sz="0" w:space="0" w:color="auto"/>
        <w:right w:val="none" w:sz="0" w:space="0" w:color="auto"/>
      </w:divBdr>
    </w:div>
    <w:div w:id="1345136199">
      <w:bodyDiv w:val="1"/>
      <w:marLeft w:val="0"/>
      <w:marRight w:val="0"/>
      <w:marTop w:val="0"/>
      <w:marBottom w:val="0"/>
      <w:divBdr>
        <w:top w:val="none" w:sz="0" w:space="0" w:color="auto"/>
        <w:left w:val="none" w:sz="0" w:space="0" w:color="auto"/>
        <w:bottom w:val="none" w:sz="0" w:space="0" w:color="auto"/>
        <w:right w:val="none" w:sz="0" w:space="0" w:color="auto"/>
      </w:divBdr>
    </w:div>
    <w:div w:id="1472212213">
      <w:bodyDiv w:val="1"/>
      <w:marLeft w:val="0"/>
      <w:marRight w:val="0"/>
      <w:marTop w:val="0"/>
      <w:marBottom w:val="0"/>
      <w:divBdr>
        <w:top w:val="none" w:sz="0" w:space="0" w:color="auto"/>
        <w:left w:val="none" w:sz="0" w:space="0" w:color="auto"/>
        <w:bottom w:val="none" w:sz="0" w:space="0" w:color="auto"/>
        <w:right w:val="none" w:sz="0" w:space="0" w:color="auto"/>
      </w:divBdr>
    </w:div>
    <w:div w:id="1493645404">
      <w:bodyDiv w:val="1"/>
      <w:marLeft w:val="0"/>
      <w:marRight w:val="0"/>
      <w:marTop w:val="0"/>
      <w:marBottom w:val="0"/>
      <w:divBdr>
        <w:top w:val="none" w:sz="0" w:space="0" w:color="auto"/>
        <w:left w:val="none" w:sz="0" w:space="0" w:color="auto"/>
        <w:bottom w:val="none" w:sz="0" w:space="0" w:color="auto"/>
        <w:right w:val="none" w:sz="0" w:space="0" w:color="auto"/>
      </w:divBdr>
    </w:div>
    <w:div w:id="1530029922">
      <w:bodyDiv w:val="1"/>
      <w:marLeft w:val="0"/>
      <w:marRight w:val="0"/>
      <w:marTop w:val="0"/>
      <w:marBottom w:val="0"/>
      <w:divBdr>
        <w:top w:val="none" w:sz="0" w:space="0" w:color="auto"/>
        <w:left w:val="none" w:sz="0" w:space="0" w:color="auto"/>
        <w:bottom w:val="none" w:sz="0" w:space="0" w:color="auto"/>
        <w:right w:val="none" w:sz="0" w:space="0" w:color="auto"/>
      </w:divBdr>
    </w:div>
    <w:div w:id="1673877282">
      <w:bodyDiv w:val="1"/>
      <w:marLeft w:val="0"/>
      <w:marRight w:val="0"/>
      <w:marTop w:val="0"/>
      <w:marBottom w:val="0"/>
      <w:divBdr>
        <w:top w:val="none" w:sz="0" w:space="0" w:color="auto"/>
        <w:left w:val="none" w:sz="0" w:space="0" w:color="auto"/>
        <w:bottom w:val="none" w:sz="0" w:space="0" w:color="auto"/>
        <w:right w:val="none" w:sz="0" w:space="0" w:color="auto"/>
      </w:divBdr>
    </w:div>
    <w:div w:id="1678800862">
      <w:bodyDiv w:val="1"/>
      <w:marLeft w:val="0"/>
      <w:marRight w:val="0"/>
      <w:marTop w:val="0"/>
      <w:marBottom w:val="0"/>
      <w:divBdr>
        <w:top w:val="none" w:sz="0" w:space="0" w:color="auto"/>
        <w:left w:val="none" w:sz="0" w:space="0" w:color="auto"/>
        <w:bottom w:val="none" w:sz="0" w:space="0" w:color="auto"/>
        <w:right w:val="none" w:sz="0" w:space="0" w:color="auto"/>
      </w:divBdr>
    </w:div>
    <w:div w:id="2104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power</dc:creator>
  <cp:lastModifiedBy>eodonnell</cp:lastModifiedBy>
  <cp:revision>2</cp:revision>
  <dcterms:created xsi:type="dcterms:W3CDTF">2018-02-19T15:07:00Z</dcterms:created>
  <dcterms:modified xsi:type="dcterms:W3CDTF">2018-02-19T15:07:00Z</dcterms:modified>
</cp:coreProperties>
</file>