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48B6C5E8" w14:paraId="3B02A83E" wp14:textId="3C89542E">
      <w:pPr>
        <w:spacing w:after="0" w:afterAutospacing="off"/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</w:pP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GB"/>
        </w:rPr>
        <w:t>CAO – General Info</w:t>
      </w:r>
    </w:p>
    <w:p xmlns:wp14="http://schemas.microsoft.com/office/word/2010/wordml" w:rsidP="48B6C5E8" w14:paraId="7DF061A1" wp14:textId="5AEC14C8">
      <w:pPr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>#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GB"/>
        </w:rPr>
        <w:t>Responsibility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GB"/>
        </w:rPr>
        <w:t xml:space="preserve"> to follow the CAO T&amp;C’s and complete the CAO is with the </w:t>
      </w:r>
      <w:bookmarkStart w:name="_Int_1W0seJBT" w:id="1874870421"/>
      <w:r w:rsidRPr="165C93AD" w:rsidR="1BA5F455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GB"/>
        </w:rPr>
        <w:t>S</w:t>
      </w:r>
      <w:r w:rsidRPr="165C93AD" w:rsidR="1BA5F455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GB"/>
        </w:rPr>
        <w:t>tudent</w:t>
      </w:r>
      <w:bookmarkEnd w:id="1874870421"/>
    </w:p>
    <w:p xmlns:wp14="http://schemas.microsoft.com/office/word/2010/wordml" w:rsidP="48B6C5E8" w14:paraId="704FF248" wp14:textId="13D37AF8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Apply for up to 20 courses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34B76DDD" wp14:textId="47EF88D3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Level 8 list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     Honours Degrees </w:t>
      </w:r>
    </w:p>
    <w:p xmlns:wp14="http://schemas.microsoft.com/office/word/2010/wordml" w:rsidP="48B6C5E8" w14:paraId="47FBD788" wp14:textId="2E38B7C7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Level 6/7 list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Higher Certificates &amp; Ordinary Degrees</w:t>
      </w:r>
    </w:p>
    <w:p w:rsidR="48B6C5E8" w:rsidP="48B6C5E8" w:rsidRDefault="48B6C5E8" w14:paraId="78414D07" w14:textId="49FD8475">
      <w:pPr>
        <w:pStyle w:val="ListParagraph"/>
        <w:numPr>
          <w:ilvl w:val="0"/>
          <w:numId w:val="1"/>
        </w:numPr>
        <w:tabs>
          <w:tab w:val="left" w:leader="none" w:pos="720"/>
        </w:tabs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48B6C5E8" w14:paraId="66CF7D4E" wp14:textId="4DDF11F6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>#</w:t>
      </w: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ENTRY REQUIREMENTS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GB"/>
        </w:rPr>
        <w:t xml:space="preserve"> </w:t>
      </w:r>
      <w:r w:rsidRPr="48B6C5E8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en-GB"/>
        </w:rPr>
        <w:t>(A) College Entry Req. (B) Course Entry Req.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 xml:space="preserve"> </w:t>
      </w:r>
      <w:r>
        <w:br/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</w:t>
      </w:r>
      <w:r w:rsidRPr="48B6C5E8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GB"/>
        </w:rPr>
        <w:t>These must be</w:t>
      </w: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satisfied 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GB"/>
        </w:rPr>
        <w:t>before</w:t>
      </w:r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 xml:space="preserve"> “points”</w:t>
      </w: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GB"/>
        </w:rPr>
        <w:t xml:space="preserve"> </w:t>
      </w:r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GB"/>
        </w:rPr>
        <w:t>are considered</w:t>
      </w:r>
      <w:r w:rsidRPr="48B6C5E8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68A48A74" wp14:textId="7F4BB119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23FEA823" wp14:textId="0BD74F45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#NOTE:</w:t>
      </w:r>
    </w:p>
    <w:p xmlns:wp14="http://schemas.microsoft.com/office/word/2010/wordml" w:rsidP="48B6C5E8" w14:paraId="69463FF3" wp14:textId="6740EF17">
      <w:pPr>
        <w:spacing w:after="0" w:afterAutospacing="off"/>
      </w:pP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Colleges of NUI</w:t>
      </w:r>
      <w:r w:rsidRPr="165C93AD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(UCD, </w:t>
      </w:r>
      <w:r w:rsidRPr="165C93AD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highlight w:val="yellow"/>
          <w:lang w:val="en-US"/>
        </w:rPr>
        <w:t>UCC</w:t>
      </w:r>
      <w:r w:rsidRPr="165C93AD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UG, NUIM, RCSI) 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IE"/>
        </w:rPr>
        <w:t>have a 3rd language requirement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.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65C93AD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There are </w:t>
      </w: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color w:val="000000" w:themeColor="text1" w:themeTint="FF" w:themeShade="FF"/>
          <w:sz w:val="24"/>
          <w:szCs w:val="24"/>
          <w:lang w:val="en-US"/>
        </w:rPr>
        <w:t>some exceptions</w:t>
      </w:r>
      <w:r w:rsidRPr="165C93AD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 now for </w:t>
      </w:r>
      <w:bookmarkStart w:name="_Int_9OEbVHFl" w:id="1816180311"/>
      <w:r w:rsidRPr="165C93AD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>Science</w:t>
      </w:r>
      <w:bookmarkEnd w:id="1816180311"/>
      <w:r w:rsidRPr="165C93AD" w:rsidR="394A67DC"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4"/>
          <w:szCs w:val="24"/>
          <w:lang w:val="en-US"/>
        </w:rPr>
        <w:t xml:space="preserve">, 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IE"/>
        </w:rPr>
        <w:t>Engineering and Nursing Courses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201E40B3" wp14:textId="605C66C2">
      <w:pPr>
        <w:spacing w:after="0" w:afterAutospacing="off"/>
      </w:pPr>
      <w:r w:rsidRPr="48B6C5E8" w:rsidR="00812324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Language </w:t>
      </w: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Exemptions: 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Any student who has an exemption from Irish or a 3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rd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Language</w:t>
      </w:r>
    </w:p>
    <w:p xmlns:wp14="http://schemas.microsoft.com/office/word/2010/wordml" w:rsidP="48B6C5E8" w14:paraId="2DC28279" wp14:textId="1C2CCE9F">
      <w:pPr>
        <w:pStyle w:val="ListParagraph"/>
        <w:numPr>
          <w:ilvl w:val="0"/>
          <w:numId w:val="2"/>
        </w:num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proofErr w:type="gramStart"/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NUI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>..</w:t>
      </w:r>
      <w:proofErr w:type="gramEnd"/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Student will apply to </w:t>
      </w:r>
      <w:hyperlink r:id="Re11e20b7d3c44f2a">
        <w:r w:rsidRPr="48B6C5E8" w:rsidR="394A67D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www.nui.ie</w:t>
        </w:r>
      </w:hyperlink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download and complete / return to NUI</w:t>
      </w:r>
    </w:p>
    <w:p w:rsidR="394A67DC" w:rsidP="48B6C5E8" w:rsidRDefault="394A67DC" w14:paraId="6646B412" w14:textId="071E1478">
      <w:pPr>
        <w:pStyle w:val="ListParagraph"/>
        <w:numPr>
          <w:ilvl w:val="0"/>
          <w:numId w:val="2"/>
        </w:numPr>
        <w:spacing w:after="0" w:afterAutospacing="off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UL</w:t>
      </w:r>
      <w:proofErr w:type="gramStart"/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..</w:t>
      </w:r>
      <w:proofErr w:type="gramEnd"/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 xml:space="preserve">  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Student will apply to </w:t>
      </w:r>
      <w:hyperlink r:id="R4a637a5078bc4dd5">
        <w:r w:rsidRPr="48B6C5E8" w:rsidR="394A67DC">
          <w:rPr>
            <w:rStyle w:val="Hyperlink"/>
            <w:rFonts w:ascii="Calibri" w:hAnsi="Calibri" w:eastAsia="Calibri" w:cs="Calibri"/>
            <w:strike w:val="0"/>
            <w:dstrike w:val="0"/>
            <w:noProof w:val="0"/>
            <w:sz w:val="22"/>
            <w:szCs w:val="22"/>
            <w:lang w:val="en-US"/>
          </w:rPr>
          <w:t>www.ul.ie</w:t>
        </w:r>
      </w:hyperlink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 download and complete / return to UL</w:t>
      </w:r>
    </w:p>
    <w:p w:rsidR="48B6C5E8" w:rsidP="48B6C5E8" w:rsidRDefault="48B6C5E8" w14:paraId="1A907DC5" w14:textId="0AAF447B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p w:rsidR="394A67DC" w:rsidP="48B6C5E8" w:rsidRDefault="394A67DC" w14:paraId="288173F9" w14:textId="7680DEA7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>After checking Entry Requirements........</w:t>
      </w:r>
      <w:r>
        <w:br/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>#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 xml:space="preserve">Complete each list according to </w:t>
      </w:r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highlight w:val="yellow"/>
          <w:lang w:val="en-US"/>
        </w:rPr>
        <w:t>order of preference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highlight w:val="yellow"/>
          <w:lang w:val="en-US"/>
        </w:rPr>
        <w:t>....</w:t>
      </w:r>
      <w:r>
        <w:br/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>Dream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Courses ... followed by </w:t>
      </w:r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Realistic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Courses ... Finish by </w:t>
      </w:r>
      <w:r w:rsidRPr="48B6C5E8" w:rsidR="394A67DC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en-US"/>
        </w:rPr>
        <w:t>Banker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Courses</w:t>
      </w:r>
    </w:p>
    <w:p w:rsidR="48B6C5E8" w:rsidP="48B6C5E8" w:rsidRDefault="48B6C5E8" w14:paraId="59BCCF76" w14:textId="7D61D294">
      <w:pPr>
        <w:pStyle w:val="Normal"/>
        <w:spacing w:after="0" w:afterAutospacing="off"/>
        <w:ind w:left="0"/>
      </w:pPr>
      <w:r>
        <w:br/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# Restricted courses are courses that are only allowed to be included on a Level 8 list by the </w:t>
      </w:r>
      <w:proofErr w:type="gramStart"/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>1</w:t>
      </w:r>
      <w:r w:rsidRPr="48B6C5E8" w:rsidR="394A67DC">
        <w:rPr>
          <w:rFonts w:ascii="Calibri" w:hAnsi="Calibri" w:eastAsia="Calibri" w:cs="Calibri"/>
          <w:noProof w:val="0"/>
          <w:sz w:val="22"/>
          <w:szCs w:val="22"/>
          <w:vertAlign w:val="superscript"/>
          <w:lang w:val="en-US"/>
        </w:rPr>
        <w:t>st</w:t>
      </w:r>
      <w:proofErr w:type="gramEnd"/>
      <w:r w:rsidRPr="48B6C5E8" w:rsidR="394A67DC">
        <w:rPr>
          <w:rFonts w:ascii="Calibri" w:hAnsi="Calibri" w:eastAsia="Calibri" w:cs="Calibri"/>
          <w:noProof w:val="0"/>
          <w:sz w:val="22"/>
          <w:szCs w:val="22"/>
          <w:lang w:val="en-US"/>
        </w:rPr>
        <w:t xml:space="preserve"> Feb deadline (a course that involves additional tests or auditions or portfolios etc. Medicine / some Architecture courses / Music / Drama etc.)</w:t>
      </w:r>
    </w:p>
    <w:p w:rsidR="48B6C5E8" w:rsidP="48B6C5E8" w:rsidRDefault="48B6C5E8" w14:paraId="5CFB545F" w14:textId="0C4D3C4C">
      <w:pPr>
        <w:pStyle w:val="Normal"/>
        <w:spacing w:after="0" w:afterAutospacing="off"/>
        <w:ind w:left="0"/>
        <w:rPr>
          <w:rFonts w:ascii="Calibri" w:hAnsi="Calibri" w:eastAsia="Calibri" w:cs="Calibri"/>
          <w:noProof w:val="0"/>
          <w:sz w:val="22"/>
          <w:szCs w:val="22"/>
          <w:lang w:val="en-US"/>
        </w:rPr>
      </w:pPr>
    </w:p>
    <w:tbl>
      <w:tblPr>
        <w:tblStyle w:val="TableNormal"/>
        <w:tblW w:w="0" w:type="auto"/>
        <w:tblLayout w:type="fixed"/>
        <w:tblLook w:val="04A0" w:firstRow="1" w:lastRow="0" w:firstColumn="1" w:lastColumn="0" w:noHBand="0" w:noVBand="1"/>
      </w:tblPr>
      <w:tblGrid>
        <w:gridCol w:w="2175"/>
        <w:gridCol w:w="960"/>
        <w:gridCol w:w="2595"/>
      </w:tblGrid>
      <w:tr w:rsidR="5823A5B3" w:rsidTr="48B6C5E8" w14:paraId="6C3F0E39">
        <w:trPr>
          <w:trHeight w:val="495"/>
        </w:trPr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273979D4" w14:textId="65E419D5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b w:val="1"/>
                <w:bCs w:val="1"/>
                <w:color w:val="85DFD0"/>
                <w:sz w:val="17"/>
                <w:szCs w:val="17"/>
                <w:lang w:val="en-GB"/>
              </w:rPr>
              <w:t>All fees are non-refundable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77CBF847" w14:textId="4F6CC883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b w:val="1"/>
                <w:bCs w:val="1"/>
                <w:color w:val="85DFD0"/>
                <w:sz w:val="17"/>
                <w:szCs w:val="17"/>
                <w:lang w:val="en-GB"/>
              </w:rPr>
              <w:t>Fee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19B8010E" w14:textId="7A2086D0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b w:val="1"/>
                <w:bCs w:val="1"/>
                <w:color w:val="85DFD0"/>
                <w:sz w:val="17"/>
                <w:szCs w:val="17"/>
                <w:lang w:val="en-GB"/>
              </w:rPr>
              <w:t>Closing date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</w:tr>
      <w:tr w:rsidR="5823A5B3" w:rsidTr="48B6C5E8" w14:paraId="3BDF0B6E">
        <w:trPr>
          <w:trHeight w:val="495"/>
        </w:trPr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27C0B4C8" w14:textId="030AA213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 xml:space="preserve">Normal application 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00A2EA93" w14:textId="3337F5A3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€4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</w:rPr>
              <w:t>5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03BEE69F" w14:textId="70CAADF9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1 Feb 2023 (5:15pm)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</w:tr>
      <w:tr w:rsidR="5823A5B3" w:rsidTr="48B6C5E8" w14:paraId="34D9B4C7">
        <w:trPr>
          <w:trHeight w:val="495"/>
        </w:trPr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147F3E93" w14:textId="30208549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GB"/>
              </w:rPr>
              <w:t>Online discounted rate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2D79BAD7" w14:textId="6E493054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GB"/>
              </w:rPr>
              <w:t>€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</w:rPr>
              <w:t>30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GB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4077645C" w14:textId="28EB76B7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GB"/>
              </w:rPr>
              <w:t>20 Jan 2023 (5:15pm)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US"/>
              </w:rPr>
              <w:t xml:space="preserve"> </w:t>
            </w:r>
          </w:p>
        </w:tc>
      </w:tr>
      <w:tr w:rsidR="5823A5B3" w:rsidTr="48B6C5E8" w14:paraId="49C37969">
        <w:trPr>
          <w:trHeight w:val="495"/>
        </w:trPr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34EA73E9" w14:textId="78F92EC4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Late online application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69C03E43" w14:textId="2AA3BC8D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€60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73B8E677" w14:textId="1AC93AB1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1 May 2023 (5:15pm)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</w:tr>
      <w:tr w:rsidR="5823A5B3" w:rsidTr="48B6C5E8" w14:paraId="35B66C5B">
        <w:trPr>
          <w:trHeight w:val="495"/>
        </w:trPr>
        <w:tc>
          <w:tcPr>
            <w:tcW w:w="217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2EE95D1F" w14:textId="3B9BE37C">
            <w:pPr>
              <w:spacing w:after="0" w:afterAutospacing="off"/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GB"/>
              </w:rPr>
              <w:t>Change of Mind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highlight w:val="yellow"/>
                <w:lang w:val="en-US"/>
              </w:rPr>
              <w:t xml:space="preserve"> </w:t>
            </w:r>
          </w:p>
        </w:tc>
        <w:tc>
          <w:tcPr>
            <w:tcW w:w="960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0596C63E" w14:textId="0EEADEDD">
            <w:pPr>
              <w:spacing w:after="0" w:afterAutospacing="off"/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No Fee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  <w:tc>
          <w:tcPr>
            <w:tcW w:w="2595" w:type="dxa"/>
            <w:tcBorders>
              <w:top w:val="single" w:color="000000" w:themeColor="text1" w:sz="8"/>
              <w:left w:val="single" w:color="000000" w:themeColor="text1" w:sz="8"/>
              <w:bottom w:val="single" w:color="000000" w:themeColor="text1" w:sz="8"/>
              <w:right w:val="single" w:color="000000" w:themeColor="text1" w:sz="8"/>
            </w:tcBorders>
            <w:tcMar/>
            <w:vAlign w:val="top"/>
          </w:tcPr>
          <w:p w:rsidR="5823A5B3" w:rsidP="48B6C5E8" w:rsidRDefault="5823A5B3" w14:paraId="7EA2A1F2" w14:textId="6F50EF41">
            <w:pPr>
              <w:spacing w:after="0" w:afterAutospacing="off"/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 xml:space="preserve"> 5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vertAlign w:val="superscript"/>
                <w:lang w:val="en-GB"/>
              </w:rPr>
              <w:t>th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 xml:space="preserve"> May –</w:t>
            </w:r>
          </w:p>
          <w:p w:rsidR="5823A5B3" w:rsidP="48B6C5E8" w:rsidRDefault="5823A5B3" w14:paraId="5FA9A9E8" w14:textId="26913AEC">
            <w:pPr>
              <w:spacing w:after="0" w:afterAutospacing="off"/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</w:pP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1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vertAlign w:val="superscript"/>
                <w:lang w:val="en-GB"/>
              </w:rPr>
              <w:t>st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  <w:r w:rsidRPr="48B6C5E8" w:rsidR="0BB3A9BE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 xml:space="preserve"> 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GB"/>
              </w:rPr>
              <w:t>July 2023 (5:15pm)</w:t>
            </w:r>
            <w:r w:rsidRPr="48B6C5E8" w:rsidR="5823A5B3">
              <w:rPr>
                <w:rFonts w:ascii="Tahoma" w:hAnsi="Tahoma" w:eastAsia="Tahoma" w:cs="Tahoma"/>
                <w:color w:val="000000" w:themeColor="text1" w:themeTint="FF" w:themeShade="FF"/>
                <w:sz w:val="17"/>
                <w:szCs w:val="17"/>
                <w:lang w:val="en-US"/>
              </w:rPr>
              <w:t xml:space="preserve"> </w:t>
            </w:r>
          </w:p>
        </w:tc>
      </w:tr>
    </w:tbl>
    <w:p xmlns:wp14="http://schemas.microsoft.com/office/word/2010/wordml" w:rsidP="48B6C5E8" w14:paraId="5998808D" wp14:textId="4CAB28A8">
      <w:pPr>
        <w:spacing w:after="0" w:afterAutospacing="off"/>
      </w:pP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# Complete </w:t>
      </w: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HEAR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or/and </w:t>
      </w: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DARE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applications (deadline 1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vertAlign w:val="superscript"/>
          <w:lang w:val="en-US"/>
        </w:rPr>
        <w:t>st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March) (</w:t>
      </w:r>
      <w:r w:rsidRPr="165C93AD" w:rsidR="394A67DC">
        <w:rPr>
          <w:rStyle w:val="Hyperlink"/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www.accesscollege.ie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</w:p>
    <w:p xmlns:wp14="http://schemas.microsoft.com/office/word/2010/wordml" w:rsidP="48B6C5E8" w14:paraId="7BCDF5AB" wp14:textId="53135976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7426552C" wp14:textId="29FCFC52">
      <w:pPr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# </w:t>
      </w:r>
      <w:r w:rsidRPr="48B6C5E8" w:rsidR="7A897EBB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R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eco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mmend</w:t>
      </w:r>
      <w:r w:rsidRPr="48B6C5E8" w:rsidR="6B4563B6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ation is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 xml:space="preserve"> </w:t>
      </w:r>
      <w:r w:rsidRPr="48B6C5E8" w:rsidR="28981188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to</w:t>
      </w: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 xml:space="preserve"> accept your round 1 offer</w:t>
      </w:r>
    </w:p>
    <w:p xmlns:wp14="http://schemas.microsoft.com/office/word/2010/wordml" w:rsidP="48B6C5E8" w14:paraId="3B452389" wp14:textId="02C5B02B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3B84AAB3" wp14:textId="2E3BADD5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#SUSI for grants information / </w:t>
      </w:r>
      <w:proofErr w:type="gramStart"/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application  (</w:t>
      </w:r>
      <w:proofErr w:type="gramEnd"/>
      <w:r w:rsidRPr="48B6C5E8" w:rsidR="394A67DC">
        <w:rPr>
          <w:rStyle w:val="Hyperlink"/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www.susi.ie</w:t>
      </w:r>
      <w:r w:rsidRPr="48B6C5E8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)</w:t>
      </w:r>
    </w:p>
    <w:p xmlns:wp14="http://schemas.microsoft.com/office/word/2010/wordml" w:rsidP="48B6C5E8" w14:paraId="2C05EC97" wp14:textId="4FE6E37D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50B6A82F" wp14:textId="02DC33B2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#Scholarships (Check with individual colleges for both range available and T&amp;C)</w:t>
      </w:r>
    </w:p>
    <w:p xmlns:wp14="http://schemas.microsoft.com/office/word/2010/wordml" w:rsidP="48B6C5E8" w14:paraId="3B310C77" wp14:textId="39587AA7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48B6C5E8" w14:paraId="47CB28F2" wp14:textId="24D2CC67">
      <w:pPr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# 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>College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highlight w:val="yellow"/>
          <w:lang w:val="en-US"/>
        </w:rPr>
        <w:t xml:space="preserve"> of Further Education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(a one stop-shop </w:t>
      </w: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>or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  <w:r w:rsidRPr="165C93AD" w:rsidR="6DBC51F3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a pathway 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toward college</w:t>
      </w:r>
      <w:r w:rsidRPr="165C93AD" w:rsidR="5957BF32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/university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)</w:t>
      </w:r>
    </w:p>
    <w:p xmlns:wp14="http://schemas.microsoft.com/office/word/2010/wordml" w:rsidP="48B6C5E8" w14:paraId="71842BEB" wp14:textId="206C2C91">
      <w:pPr>
        <w:spacing w:after="0" w:afterAutospacing="off"/>
      </w:pPr>
      <w:r w:rsidRPr="48B6C5E8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</w:t>
      </w:r>
    </w:p>
    <w:p xmlns:wp14="http://schemas.microsoft.com/office/word/2010/wordml" w:rsidP="165C93AD" w14:paraId="7FDA7A66" wp14:textId="552C4CC8">
      <w:pPr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# </w:t>
      </w: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highlight w:val="yellow"/>
          <w:lang w:val="en-US"/>
        </w:rPr>
        <w:t>Apprenticeships</w:t>
      </w:r>
      <w:r w:rsidRPr="165C93AD" w:rsidR="394A67DC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65C93AD" w:rsidR="2C4F2993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 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Large </w:t>
      </w:r>
      <w:r w:rsidRPr="165C93AD" w:rsidR="16DAAC19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>volume of opportunities</w:t>
      </w:r>
      <w:r w:rsidRPr="165C93AD" w:rsidR="394A67DC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... </w:t>
      </w:r>
      <w:hyperlink r:id="Rfbadfa2ca29242d5">
        <w:r w:rsidRPr="165C93AD" w:rsidR="0220F43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www.solas.ie</w:t>
        </w:r>
      </w:hyperlink>
      <w:r w:rsidRPr="165C93AD" w:rsidR="0220F43B"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  <w:t xml:space="preserve">   </w:t>
      </w:r>
      <w:hyperlink r:id="R9198ac5010334192">
        <w:r w:rsidRPr="165C93AD" w:rsidR="0EC76E1B">
          <w:rPr>
            <w:rStyle w:val="Hyperlink"/>
            <w:rFonts w:ascii="Times New Roman" w:hAnsi="Times New Roman" w:eastAsia="Times New Roman" w:cs="Times New Roman"/>
            <w:noProof w:val="0"/>
            <w:sz w:val="24"/>
            <w:szCs w:val="24"/>
            <w:lang w:val="en-US"/>
          </w:rPr>
          <w:t>www.apprenticeship.ie</w:t>
        </w:r>
      </w:hyperlink>
    </w:p>
    <w:p w:rsidR="165C93AD" w:rsidP="165C93AD" w:rsidRDefault="165C93AD" w14:paraId="0603267F" w14:textId="7ED8765B">
      <w:pPr>
        <w:pStyle w:val="Normal"/>
        <w:spacing w:after="0" w:afterAutospacing="off"/>
        <w:rPr>
          <w:rFonts w:ascii="Times New Roman" w:hAnsi="Times New Roman" w:eastAsia="Times New Roman" w:cs="Times New Roman"/>
          <w:noProof w:val="0"/>
          <w:sz w:val="24"/>
          <w:szCs w:val="24"/>
          <w:lang w:val="en-US"/>
        </w:rPr>
      </w:pPr>
    </w:p>
    <w:p xmlns:wp14="http://schemas.microsoft.com/office/word/2010/wordml" w:rsidP="48B6C5E8" w14:paraId="2C078E63" wp14:textId="1A3BDF96">
      <w:pPr>
        <w:pStyle w:val="Normal"/>
        <w:spacing w:after="0" w:afterAutospacing="off"/>
      </w:pPr>
    </w:p>
    <w:sectPr>
      <w:pgSz w:w="11907" w:h="16839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int2="http://schemas.microsoft.com/office/intelligence/2020/intelligence">
  <int2:observations>
    <int2:bookmark int2:bookmarkName="_Int_1W0seJBT" int2:invalidationBookmarkName="" int2:hashCode="QrMnlHkrSDE80b" int2:id="JM44ZjRd">
      <int2:state int2:type="LegacyProofing" int2:value="Rejected"/>
    </int2:bookmark>
    <int2:bookmark int2:bookmarkName="_Int_9OEbVHFl" int2:invalidationBookmarkName="" int2:hashCode="0tBmNxR13uei1J" int2:id="5PlmroSb">
      <int2:state int2:type="LegacyProofing" int2:value="Rejected"/>
    </int2:bookmark>
  </int2:observations>
  <int2:intelligenceSettings/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nsid w:val="787f5dce"/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">
    <w:nsid w:val="363c474e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1AD6E23"/>
    <w:rsid w:val="00812324"/>
    <w:rsid w:val="0220F43B"/>
    <w:rsid w:val="033758C1"/>
    <w:rsid w:val="0BB3A9BE"/>
    <w:rsid w:val="0C1002F9"/>
    <w:rsid w:val="0EC76E1B"/>
    <w:rsid w:val="13B40ACD"/>
    <w:rsid w:val="165C93AD"/>
    <w:rsid w:val="16DAAC19"/>
    <w:rsid w:val="1A1513D8"/>
    <w:rsid w:val="1BA5F455"/>
    <w:rsid w:val="1C6F17A6"/>
    <w:rsid w:val="2461012E"/>
    <w:rsid w:val="282A4BA3"/>
    <w:rsid w:val="28981188"/>
    <w:rsid w:val="2C4F2993"/>
    <w:rsid w:val="2E998D27"/>
    <w:rsid w:val="31AD6E23"/>
    <w:rsid w:val="394A67DC"/>
    <w:rsid w:val="3B7FFDB5"/>
    <w:rsid w:val="3EB79E77"/>
    <w:rsid w:val="43E354C5"/>
    <w:rsid w:val="48B6C5E8"/>
    <w:rsid w:val="4B7CF922"/>
    <w:rsid w:val="4EBA276F"/>
    <w:rsid w:val="5823A5B3"/>
    <w:rsid w:val="5957BF32"/>
    <w:rsid w:val="5A3B148A"/>
    <w:rsid w:val="5E7AF56B"/>
    <w:rsid w:val="5FBE80A1"/>
    <w:rsid w:val="6B405016"/>
    <w:rsid w:val="6B4563B6"/>
    <w:rsid w:val="6DBC51F3"/>
    <w:rsid w:val="73E6DFC3"/>
    <w:rsid w:val="7A89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BBEBB0"/>
  <w15:chartTrackingRefBased/>
  <w15:docId w15:val="{AA84E138-65B9-4B48-89E3-E7738744CCF4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TableNormal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numbering" Target="numbering.xml" Id="R39f7b28c8014445c" /><Relationship Type="http://schemas.openxmlformats.org/officeDocument/2006/relationships/hyperlink" Target="http://www.nui.ie/" TargetMode="External" Id="Re11e20b7d3c44f2a" /><Relationship Type="http://schemas.openxmlformats.org/officeDocument/2006/relationships/hyperlink" Target="http://www.ul.ie/" TargetMode="External" Id="R4a637a5078bc4dd5" /><Relationship Type="http://schemas.openxmlformats.org/officeDocument/2006/relationships/hyperlink" Target="http://www.solas.ie" TargetMode="External" Id="Rfbadfa2ca29242d5" /><Relationship Type="http://schemas.openxmlformats.org/officeDocument/2006/relationships/hyperlink" Target="http://www.apprenticeship.ie" TargetMode="External" Id="R9198ac5010334192" /><Relationship Type="http://schemas.microsoft.com/office/2020/10/relationships/intelligence" Target="intelligence2.xml" Id="R9d4375602d4d4981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2022-11-11T11:53:10.8803819Z</dcterms:created>
  <dcterms:modified xsi:type="dcterms:W3CDTF">2022-11-16T14:14:15.4606723Z</dcterms:modified>
  <dc:creator>Vincent Howard</dc:creator>
  <lastModifiedBy>Vincent Howard</lastModifiedBy>
</coreProperties>
</file>